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tabs>
          <w:tab w:val="left" w:pos="3061"/>
        </w:tabs>
        <w:spacing w:after="0" w:before="0" w:lineRule="auto"/>
        <w:jc w:val="center"/>
        <w:rPr/>
      </w:pPr>
      <w:bookmarkStart w:colFirst="0" w:colLast="0" w:name="_dv9xig6zstj3" w:id="0"/>
      <w:bookmarkEnd w:id="0"/>
      <w:r w:rsidDel="00000000" w:rsidR="00000000" w:rsidRPr="00000000">
        <w:rPr>
          <w:rtl w:val="0"/>
        </w:rPr>
        <w:t xml:space="preserve">Sample Contract: </w:t>
      </w:r>
    </w:p>
    <w:p w:rsidR="00000000" w:rsidDel="00000000" w:rsidP="00000000" w:rsidRDefault="00000000" w:rsidRPr="00000000" w14:paraId="00000003">
      <w:pPr>
        <w:pStyle w:val="Title"/>
        <w:pageBreakBefore w:val="0"/>
        <w:tabs>
          <w:tab w:val="left" w:pos="3061"/>
        </w:tabs>
        <w:spacing w:after="0" w:before="0" w:lineRule="auto"/>
        <w:jc w:val="center"/>
        <w:rPr/>
      </w:pPr>
      <w:bookmarkStart w:colFirst="0" w:colLast="0" w:name="_46e8r2vg2h7g" w:id="1"/>
      <w:bookmarkEnd w:id="1"/>
      <w:r w:rsidDel="00000000" w:rsidR="00000000" w:rsidRPr="00000000">
        <w:rPr>
          <w:rtl w:val="0"/>
        </w:rPr>
        <w:t xml:space="preserve">Fiscal Sponsorship Transition Agreement (Draft)</w:t>
      </w:r>
    </w:p>
    <w:p w:rsidR="00000000" w:rsidDel="00000000" w:rsidP="00000000" w:rsidRDefault="00000000" w:rsidRPr="00000000" w14:paraId="00000004">
      <w:pPr>
        <w:pageBreakBefore w:val="0"/>
        <w:tabs>
          <w:tab w:val="left" w:pos="3061"/>
        </w:tabs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color w:val="9b0058"/>
        </w:rPr>
        <mc:AlternateContent>
          <mc:Choice Requires="wpg">
            <w:drawing>
              <wp:inline distB="114300" distT="114300" distL="114300" distR="114300">
                <wp:extent cx="6153150" cy="1908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60925" y="2021425"/>
                          <a:ext cx="61278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9B0058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53150" cy="1908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9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rFonts w:ascii="Calibri" w:cs="Calibri" w:eastAsia="Calibri" w:hAnsi="Calibri"/>
        </w:rPr>
      </w:pPr>
      <w:bookmarkStart w:colFirst="0" w:colLast="0" w:name="_gjdgxs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Fiscal Sponsorship Transition Agreement</w:t>
      </w:r>
      <w:r w:rsidDel="00000000" w:rsidR="00000000" w:rsidRPr="00000000">
        <w:rPr>
          <w:rFonts w:ascii="Calibri" w:cs="Calibri" w:eastAsia="Calibri" w:hAnsi="Calibri"/>
          <w:highlight w:val="yellow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Introduction.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New Entity Transition Agreement (the “Transition Agreement”) is entered into by: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 Organization/Entity</w:t>
      </w:r>
      <w:r w:rsidDel="00000000" w:rsidR="00000000" w:rsidRPr="00000000">
        <w:rPr>
          <w:rFonts w:ascii="Calibri" w:cs="Calibri" w:eastAsia="Calibri" w:hAnsi="Calibri"/>
          <w:highlight w:val="yellow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], (“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”) a California nonprofit public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benefit corporation, and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 Organization/Entity</w:t>
      </w:r>
      <w:r w:rsidDel="00000000" w:rsidR="00000000" w:rsidRPr="00000000">
        <w:rPr>
          <w:rFonts w:ascii="Calibri" w:cs="Calibri" w:eastAsia="Calibri" w:hAnsi="Calibri"/>
          <w:highlight w:val="yellow"/>
          <w:vertAlign w:val="superscript"/>
        </w:rPr>
        <w:footnoteReference w:customMarkFollows="0" w:id="3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(“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4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regarding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Sponsorship Project</w:t>
      </w:r>
      <w:r w:rsidDel="00000000" w:rsidR="00000000" w:rsidRPr="00000000">
        <w:rPr>
          <w:rFonts w:ascii="Calibri" w:cs="Calibri" w:eastAsia="Calibri" w:hAnsi="Calibri"/>
          <w:highlight w:val="yellow"/>
          <w:vertAlign w:val="superscript"/>
        </w:rPr>
        <w:footnoteReference w:customMarkFollows="0" w:id="5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(“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6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), a fiscally sponsored project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Transition Agreement sets out the parties’ roles and responsibilities with respect to: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(1) Facilitating the transfer of assets and administration of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and (2) Terminating the fiscal sponsorship agreement for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Transition Agreement becomes effective on the date that it is signed by all parties.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Transfer of Assets and Liabilities.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3"/>
        </w:numPr>
        <w:spacing w:line="276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Money Assets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transfer all money owed to or held for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If possible,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arrange to deposit such funds directly into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bank account 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[Bank Name].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If a direct transfer is not possible, then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prepare a check payable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to be delivered on an agreed upon date and location. If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receives any donations or payments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after the agreed upon date listed above. In addition,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inform the makers of such donations or payments to make them out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shall inform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any such donations or payments. As described below,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forward mail addressed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including any checks therein written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1080" w:hanging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3"/>
        </w:numPr>
        <w:spacing w:line="276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Non Monetary Assets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transfer all non-monetary assets associated with the project on or around 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Date].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work together to identify all non-monetary assets whose ownership will be transferred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including but not limited to: contractual rights and interests, personal property, and other tangible property.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prepare any and all contracts necessary to document such transfers.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promptly sign such contracts if prepared in compliance with this agreement, the fiscal sponsorship agreement, and governing law.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3"/>
        </w:numPr>
        <w:spacing w:line="276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Intellectual Property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hereby declares that all intellectual property created by or for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transfer to and become the property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effective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This shall include but is not limited to, copyrights, licenses to copyrighted material, and trademarks, whether registered or not.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ind w:left="1080" w:hanging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3"/>
        </w:numPr>
        <w:spacing w:line="276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Domain Names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work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 to transfer ownership of any and all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related domain names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left="1080" w:hanging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3"/>
        </w:numPr>
        <w:spacing w:line="276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Memberships and Online Accounts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work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 to transfer membership in or control of any and all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-related memberships and online accounts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Fiscal Sponsorship Fees.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ind w:left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ind w:left="1440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3.1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Fees Generally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Notwithstanding the terms of the fiscal sponsorship agreement and subsequent agreements regarding sponsorship fees,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agrees to charge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[x%]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administrative fee, on all income received by and for the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Project.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ind w:left="1440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ind w:left="1440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3.2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Financial Audit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Notwithstanding section 3.1, if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requests that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conduct an audit of its financial statements,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Beneficiar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 and Sponsor will separate negotiate a fee for the cost of the audit.</w:t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ind w:left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Employment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ind w:left="720" w:hanging="6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agrees to terminate employment of all employees working on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effective at the end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agrees to hire all such employees effective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issue paychecks to employees for work through the end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even if this is a shorter than normal pay period.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ind w:left="72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Workers Compensation Insurance.</w:t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Beginning on 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work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transfer over administration of workers compensation insurance that previously covered employees working on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to the extent possible. The parties shall work together to effect the transfer as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Accounting and Records.</w:t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ind w:left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spacing w:line="276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Accounting Files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agrees to transfer copies of all relevant digital and hard‐copy accounting files from the commencement of fiscal sponsorship and onwards regarding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within a reasonable time period, but no later than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This includes any balance sheets, income statements, statements of cash flow, and any other financial statements.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provide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with a copy of final financial statements for both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If final financials are not available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then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provide preliminary financials based on all information available at that time, and shall send final financials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Going forward,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cooperate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answer any questions or provide any information regarding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finances.</w:t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ind w:left="1080" w:hanging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spacing w:line="276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Personal Records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transfer copies of all personnel records for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within a reasonable time period, but no later than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so long as all required permissions from employees are obtained.</w:t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spacing w:line="276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Mail Forwarding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If any mail arrives for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after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then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forward the mail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[Address]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make arrangements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pick up the mail. This includes any mail containing checks written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spacing w:line="276" w:lineRule="auto"/>
        <w:ind w:left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Indemnification.</w:t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agrees to indemnify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any liability incurred in connection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before 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except to the extent that any of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Sponsor’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occurrence-based insurance policies cover liability for occurrence prior to 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except to the extent the liability arose out of a duty, act, or omission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Fiscal Sponsorship Termination.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Sponsor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agree that the existing fiscal sponsorship agreement regarding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shall terminate on 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The fiscal sponsorship agreement is attached to this agreement as Appendix 1.</w:t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By signing below, all parties agree to the above terms and conditions:</w:t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ind w:left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––––––––––––––––––––––––––</w:t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Sponsor Name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––––––––––––––––––––––––––</w:t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Date</w:t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––––––––––––––––––––––––––</w:t>
      </w:r>
    </w:p>
    <w:p w:rsidR="00000000" w:rsidDel="00000000" w:rsidP="00000000" w:rsidRDefault="00000000" w:rsidRPr="00000000" w14:paraId="00000042">
      <w:pPr>
        <w:pageBreakBefore w:val="0"/>
        <w:spacing w:line="276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Beneficiary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––––––––––––––––––––––––––</w:t>
      </w:r>
    </w:p>
    <w:p w:rsidR="00000000" w:rsidDel="00000000" w:rsidP="00000000" w:rsidRDefault="00000000" w:rsidRPr="00000000" w14:paraId="00000045">
      <w:pPr>
        <w:pageBreakBefore w:val="0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Date</w:t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ind w:left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i w:val="1"/>
          <w:color w:val="666666"/>
          <w:rtl w:val="0"/>
        </w:rPr>
        <w:t xml:space="preserve">Revised October 2019.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tabs>
        <w:tab w:val="center" w:pos="4320"/>
        <w:tab w:val="right" w:pos="8640"/>
      </w:tabs>
      <w:spacing w:line="343.6363636363637" w:lineRule="auto"/>
      <w:jc w:val="right"/>
      <w:rPr>
        <w:i w:val="1"/>
        <w:color w:val="666666"/>
        <w:sz w:val="20"/>
        <w:szCs w:val="20"/>
      </w:rPr>
    </w:pPr>
    <w:r w:rsidDel="00000000" w:rsidR="00000000" w:rsidRPr="00000000">
      <w:rPr>
        <w:i w:val="1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666666"/>
        <w:sz w:val="20"/>
        <w:szCs w:val="20"/>
        <w:rtl w:val="0"/>
      </w:rPr>
      <w:t xml:space="preserve">/</w:t>
    </w:r>
    <w:r w:rsidDel="00000000" w:rsidR="00000000" w:rsidRPr="00000000">
      <w:rPr>
        <w:i w:val="1"/>
        <w:color w:val="666666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785813" cy="272012"/>
          <wp:effectExtent b="0" l="0" r="0" t="0"/>
          <wp:wrapSquare wrapText="bothSides" distB="57150" distT="57150" distL="57150" distR="5715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85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2720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pageBreakBefore w:val="0"/>
      <w:tabs>
        <w:tab w:val="center" w:pos="4320"/>
        <w:tab w:val="right" w:pos="8640"/>
      </w:tabs>
      <w:spacing w:line="343.6363636363637" w:lineRule="auto"/>
      <w:jc w:val="center"/>
      <w:rPr>
        <w:i w:val="1"/>
        <w:color w:val="666666"/>
        <w:sz w:val="20"/>
        <w:szCs w:val="20"/>
      </w:rPr>
    </w:pPr>
    <w:r w:rsidDel="00000000" w:rsidR="00000000" w:rsidRPr="00000000">
      <w:rPr>
        <w:i w:val="1"/>
        <w:color w:val="666666"/>
        <w:sz w:val="20"/>
        <w:szCs w:val="20"/>
        <w:rtl w:val="0"/>
      </w:rPr>
      <w:t xml:space="preserve">Sustainable Economies Law Center    </w:t>
    </w:r>
    <w:r w:rsidDel="00000000" w:rsidR="00000000" w:rsidRPr="00000000">
      <w:rPr>
        <w:i w:val="1"/>
        <w:color w:val="999999"/>
        <w:sz w:val="20"/>
        <w:szCs w:val="20"/>
        <w:rtl w:val="0"/>
      </w:rPr>
      <w:tab/>
    </w:r>
    <w:hyperlink r:id="rId2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www.theselc.org</w:t>
      </w:r>
    </w:hyperlink>
    <w:r w:rsidDel="00000000" w:rsidR="00000000" w:rsidRPr="00000000">
      <w:rPr>
        <w:i w:val="1"/>
        <w:color w:val="666666"/>
        <w:sz w:val="20"/>
        <w:szCs w:val="20"/>
        <w:rtl w:val="0"/>
      </w:rPr>
      <w:tab/>
      <w:t xml:space="preserve">     1428 Franklin St., Oakland, CA 94612</w:t>
    </w:r>
  </w:p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line="343.6363636363637" w:lineRule="auto"/>
      <w:jc w:val="center"/>
      <w:rPr>
        <w:i w:val="1"/>
        <w:color w:val="999999"/>
        <w:sz w:val="22"/>
        <w:szCs w:val="2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D">
      <w:pPr>
        <w:pageBreakBefore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This is a specialized example for a transfer agreement between a beneficiary and sponsor entity, it should only be used for the specific instances it describes and not as a generalized template.</w:t>
      </w:r>
    </w:p>
  </w:footnote>
  <w:footnote w:id="1">
    <w:p w:rsidR="00000000" w:rsidDel="00000000" w:rsidP="00000000" w:rsidRDefault="00000000" w:rsidRPr="00000000" w14:paraId="0000004E">
      <w:pPr>
        <w:pageBreakBefore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Delete brackets and insert the beneficiary entity’s name here</w:t>
      </w:r>
    </w:p>
  </w:footnote>
  <w:footnote w:id="2">
    <w:p w:rsidR="00000000" w:rsidDel="00000000" w:rsidP="00000000" w:rsidRDefault="00000000" w:rsidRPr="00000000" w14:paraId="0000004F">
      <w:pPr>
        <w:pageBreakBefore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Replace all references to “Beneficiary” as highlighted into this document with the exact beneficiary entity’s name.</w:t>
      </w:r>
    </w:p>
  </w:footnote>
  <w:footnote w:id="3">
    <w:p w:rsidR="00000000" w:rsidDel="00000000" w:rsidP="00000000" w:rsidRDefault="00000000" w:rsidRPr="00000000" w14:paraId="00000050">
      <w:pPr>
        <w:pageBreakBefore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Delete brackets and insert the sponsoring entity’s name here.</w:t>
      </w:r>
    </w:p>
  </w:footnote>
  <w:footnote w:id="4">
    <w:p w:rsidR="00000000" w:rsidDel="00000000" w:rsidP="00000000" w:rsidRDefault="00000000" w:rsidRPr="00000000" w14:paraId="00000051">
      <w:pPr>
        <w:pageBreakBefore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Replace all references to “Sponsor” as highlighted into this document with the exact sponsoring entity’s name.</w:t>
      </w:r>
    </w:p>
  </w:footnote>
  <w:footnote w:id="5">
    <w:p w:rsidR="00000000" w:rsidDel="00000000" w:rsidP="00000000" w:rsidRDefault="00000000" w:rsidRPr="00000000" w14:paraId="00000052">
      <w:pPr>
        <w:pageBreakBefore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Give project name here and any short pertinent description or project manager information.</w:t>
      </w:r>
    </w:p>
  </w:footnote>
  <w:footnote w:id="6">
    <w:p w:rsidR="00000000" w:rsidDel="00000000" w:rsidP="00000000" w:rsidRDefault="00000000" w:rsidRPr="00000000" w14:paraId="00000053">
      <w:pPr>
        <w:pageBreakBefore w:val="0"/>
        <w:spacing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Replace all references to “Project” as highlighted into this document with the exact project.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5000625</wp:posOffset>
          </wp:positionH>
          <wp:positionV relativeFrom="paragraph">
            <wp:posOffset>228600</wp:posOffset>
          </wp:positionV>
          <wp:extent cx="1304925" cy="542925"/>
          <wp:effectExtent b="0" l="0" r="0" t="0"/>
          <wp:wrapSquare wrapText="bothSides" distB="0" distT="0" distL="114300" distR="114300"/>
          <wp:docPr descr="SELC_HorizontalLogo_colour_RGB(for screen).jpg" id="2" name="image2.jpg"/>
          <a:graphic>
            <a:graphicData uri="http://schemas.openxmlformats.org/drawingml/2006/picture">
              <pic:pic>
                <pic:nvPicPr>
                  <pic:cNvPr descr="SELC_HorizontalLogo_colour_RGB(for screen).jpg" id="0" name="image2.jpg"/>
                  <pic:cNvPicPr preferRelativeResize="0"/>
                </pic:nvPicPr>
                <pic:blipFill>
                  <a:blip r:embed="rId1"/>
                  <a:srcRect b="-14617" l="0" r="0" t="-9295"/>
                  <a:stretch>
                    <a:fillRect/>
                  </a:stretch>
                </pic:blipFill>
                <pic:spPr>
                  <a:xfrm>
                    <a:off x="0" y="0"/>
                    <a:ext cx="13049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u w:val="singl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3">
    <w:lvl w:ilvl="0">
      <w:start w:val="2"/>
      <w:numFmt w:val="decimal"/>
      <w:lvlText w:val="%1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u w:val="singl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222222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9b0058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9b0058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9b0058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color w:val="9b0058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color w:val="9b0058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80" w:before="80" w:line="240" w:lineRule="auto"/>
    </w:pPr>
    <w:rPr>
      <w:b w:val="1"/>
      <w:color w:val="0073bc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80" w:line="240" w:lineRule="auto"/>
    </w:pPr>
    <w:rPr>
      <w:i w:val="1"/>
      <w:color w:val="666666"/>
      <w:sz w:val="38"/>
      <w:szCs w:val="3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theselc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